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2EDE6"/>
  <w:body>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5669"/>
        <w:gridCol w:w="4195"/>
      </w:tblGrid>
      <w:tr>
        <w:trPr>
          <w:cantSplit/>
        </w:trPr>
        <w:tc>
          <w:tcPr>
            <w:tcW w:type="dxa" w:w="5669"/>
            <w:tcMar>
              <w:top w:w="0" w:type="dxa"/>
              <w:left w:w="0" w:type="dxa"/>
              <w:bottom w:w="0" w:type="dxa"/>
              <w:right w:w="0" w:type="dxa"/>
            </w:tcMar>
            <w:vAlign w:val="top"/>
          </w:tcPr>
          <w:p>
            <w:pPr>
              <w:spacing w:before="0" w:after="0" w:line="240" w:lineRule="auto"/>
            </w:pPr>
            <w:r>
              <w:rPr>
                <w:rFonts w:ascii="Arial" w:hAnsi="Arial"/>
                <w:b w:val="0"/>
                <w:color w:val="111111"/>
                <w:sz w:val="2"/>
              </w:rPr>
            </w:r>
            <w:r>
              <w:drawing>
                <wp:inline xmlns:a="http://schemas.openxmlformats.org/drawingml/2006/main" xmlns:pic="http://schemas.openxmlformats.org/drawingml/2006/picture">
                  <wp:extent cx="1836000" cy="460530"/>
                  <wp:docPr id="1" name="Picture 1" descr="Palmyra Projects — transparent wordmark and palm"/>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1836000" cy="460530"/>
                          </a:xfrm>
                          <a:prstGeom prst="rect"/>
                        </pic:spPr>
                      </pic:pic>
                    </a:graphicData>
                  </a:graphic>
                </wp:inline>
              </w:drawing>
            </w:r>
          </w:p>
        </w:tc>
        <w:tc>
          <w:tcPr>
            <w:tcW w:type="dxa" w:w="4195"/>
            <w:tcMar>
              <w:top w:w="0" w:type="dxa"/>
              <w:left w:w="0" w:type="dxa"/>
              <w:bottom w:w="0" w:type="dxa"/>
              <w:right w:w="0" w:type="dxa"/>
            </w:tcMar>
            <w:vAlign w:val="center"/>
          </w:tcPr>
          <w:p>
            <w:pPr>
              <w:spacing w:before="0" w:after="0" w:line="274" w:lineRule="auto"/>
              <w:jc w:val="right"/>
            </w:pPr>
            <w:r>
              <w:rPr>
                <w:rFonts w:ascii="Arial" w:hAnsi="Arial"/>
                <w:b w:val="0"/>
                <w:color w:val="756D63"/>
                <w:sz w:val="16"/>
              </w:rPr>
              <w:t>COMPANY &amp; CAPABILITIES</w:t>
            </w:r>
          </w:p>
        </w:tc>
      </w:tr>
    </w:tbl>
    <w:p>
      <w:pPr>
        <w:spacing w:before="0" w:after="0" w:line="283" w:lineRule="exact"/>
      </w:pPr>
      <w:r>
        <w:rPr>
          <w:sz w:val="2"/>
        </w:rPr>
      </w:r>
    </w:p>
    <w:p>
      <w:pPr>
        <w:spacing w:before="0" w:after="100" w:line="274" w:lineRule="auto"/>
      </w:pPr>
      <w:r>
        <w:rPr>
          <w:rFonts w:ascii="Arial" w:hAnsi="Arial"/>
          <w:b/>
          <w:color w:val="756D63"/>
          <w:sz w:val="16"/>
          <w:spacing w:val="20"/>
        </w:rPr>
        <w:t>COMMERCIAL + RESIDENTIAL CONSTRUCTION</w:t>
      </w:r>
    </w:p>
    <w:p>
      <w:pPr>
        <w:pStyle w:val="Heading1"/>
        <w:spacing w:before="0" w:after="160" w:line="250" w:lineRule="auto"/>
      </w:pPr>
      <w:r>
        <w:rPr>
          <w:rFonts w:ascii="Times New Roman" w:hAnsi="Times New Roman"/>
          <w:b w:val="0"/>
          <w:color w:val="0F382E"/>
          <w:sz w:val="68"/>
        </w:rPr>
        <w:t>Construction with clarity.</w:t>
      </w:r>
    </w:p>
    <w:p>
      <w:pPr>
        <w:spacing w:before="0" w:after="240" w:line="295" w:lineRule="auto"/>
      </w:pPr>
      <w:r>
        <w:rPr>
          <w:rFonts w:ascii="Arial" w:hAnsi="Arial"/>
          <w:b w:val="0"/>
          <w:color w:val="5C625B"/>
          <w:sz w:val="22"/>
        </w:rPr>
        <w:t>Palmyra Projects brings construction, estimating and commercial management together. Clear decisions, coordinated delivery and attention to detail guide our work from the first conversation to handover.</w:t>
      </w:r>
    </w:p>
    <w:p>
      <w:pPr>
        <w:spacing w:before="0" w:after="0" w:line="240" w:lineRule="auto"/>
        <w:jc w:val="center"/>
      </w:pPr>
      <w:r>
        <w:rPr>
          <w:rFonts w:ascii="Arial" w:hAnsi="Arial"/>
          <w:b w:val="0"/>
          <w:color w:val="111111"/>
          <w:sz w:val="2"/>
        </w:rPr>
      </w:r>
      <w:r>
        <w:drawing>
          <wp:inline xmlns:a="http://schemas.openxmlformats.org/drawingml/2006/main" xmlns:pic="http://schemas.openxmlformats.org/drawingml/2006/picture">
            <wp:extent cx="5184000" cy="3449716"/>
            <wp:docPr id="2" name="Picture 2" descr="420 George St End of Trip — integrated lockers, joinery and amenities"/>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5184000" cy="3449716"/>
                    </a:xfrm>
                    <a:prstGeom prst="rect"/>
                  </pic:spPr>
                </pic:pic>
              </a:graphicData>
            </a:graphic>
          </wp:inline>
        </w:drawing>
      </w:r>
    </w:p>
    <w:p>
      <w:pPr>
        <w:spacing w:before="80" w:after="240" w:line="274" w:lineRule="auto"/>
      </w:pPr>
      <w:r>
        <w:rPr>
          <w:rFonts w:ascii="Arial" w:hAnsi="Arial"/>
          <w:b w:val="0"/>
          <w:color w:val="756D63"/>
          <w:sz w:val="14"/>
        </w:rPr>
        <w:t>420 GEORGE ST END OF TRIP   /   COMMERCIAL FIT-OUT</w:t>
      </w:r>
    </w:p>
    <w:p>
      <w:pPr>
        <w:pStyle w:val="Heading2"/>
        <w:spacing w:before="0" w:after="140" w:line="274" w:lineRule="auto"/>
      </w:pPr>
      <w:r>
        <w:rPr>
          <w:rFonts w:ascii="Times New Roman" w:hAnsi="Times New Roman"/>
          <w:b w:val="0"/>
          <w:color w:val="0F382E"/>
          <w:sz w:val="38"/>
        </w:rPr>
        <w:t>A practical partner for complex building work.</w:t>
      </w:r>
    </w:p>
    <w:p>
      <w:pPr>
        <w:spacing w:before="0" w:after="240" w:line="293" w:lineRule="auto"/>
      </w:pPr>
      <w:r>
        <w:rPr>
          <w:rFonts w:ascii="Arial" w:hAnsi="Arial"/>
          <w:b w:val="0"/>
          <w:color w:val="5C625B"/>
          <w:sz w:val="20"/>
        </w:rPr>
        <w:t>We align scope, cost and programme from the outset, combining disciplined planning with hands-on delivery. Our capabilities support commercial and residential clients through preconstruction, procurement, site delivery and close-out.</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3061"/>
        <w:gridCol w:w="340"/>
        <w:gridCol w:w="3061"/>
        <w:gridCol w:w="340"/>
        <w:gridCol w:w="3061"/>
      </w:tblGrid>
      <w:tr>
        <w:trPr>
          <w:cantSplit/>
        </w:trPr>
        <w:tc>
          <w:tcPr>
            <w:tcW w:type="dxa" w:w="3061"/>
            <w:tcMar>
              <w:top w:w="0" w:type="dxa"/>
              <w:left w:w="0" w:type="dxa"/>
              <w:bottom w:w="0" w:type="dxa"/>
              <w:right w:w="0" w:type="dxa"/>
            </w:tcMar>
            <w:vAlign w:val="top"/>
            <w:tcMar>
              <w:top w:w="0" w:type="dxa"/>
              <w:left w:w="0" w:type="dxa"/>
              <w:bottom w:w="283" w:type="dxa"/>
              <w:right w:w="0" w:type="dxa"/>
            </w:tcMar>
          </w:tcPr>
          <w:p>
            <w:pPr>
              <w:spacing w:before="0" w:after="120" w:line="240" w:lineRule="auto"/>
              <w:pBdr>
                <w:bottom w:val="single" w:sz="4" w:color="D9D1C4" w:space="0"/>
              </w:pBdr>
            </w:pPr>
            <w:r>
              <w:rPr>
                <w:rFonts w:ascii="Arial" w:hAnsi="Arial"/>
                <w:b w:val="0"/>
                <w:color w:val="111111"/>
                <w:sz w:val="2"/>
              </w:rPr>
            </w:r>
          </w:p>
          <w:p>
            <w:pPr>
              <w:spacing w:before="0" w:after="100" w:line="274" w:lineRule="auto"/>
            </w:pPr>
            <w:r>
              <w:rPr>
                <w:rFonts w:ascii="Arial" w:hAnsi="Arial"/>
                <w:b/>
                <w:color w:val="0F382E"/>
                <w:sz w:val="20"/>
              </w:rPr>
              <w:t>Commercial construction</w:t>
            </w:r>
          </w:p>
          <w:p>
            <w:pPr>
              <w:spacing w:before="0" w:after="0" w:line="281" w:lineRule="auto"/>
            </w:pPr>
            <w:r>
              <w:rPr>
                <w:rFonts w:ascii="Arial" w:hAnsi="Arial"/>
                <w:b w:val="0"/>
                <w:color w:val="5C625B"/>
                <w:sz w:val="18"/>
              </w:rPr>
              <w:t>Workplace, hospitality, fit-out and refurbishment projects.</w:t>
            </w:r>
          </w:p>
        </w:tc>
        <w:tc>
          <w:tcPr>
            <w:tcW w:type="dxa" w:w="340"/>
            <w:tcMar>
              <w:top w:w="0" w:type="dxa"/>
              <w:left w:w="0" w:type="dxa"/>
              <w:bottom w:w="0" w:type="dxa"/>
              <w:right w:w="0" w:type="dxa"/>
            </w:tcMar>
            <w:vAlign w:val="top"/>
          </w:tcPr>
          <w:p/>
        </w:tc>
        <w:tc>
          <w:tcPr>
            <w:tcW w:type="dxa" w:w="3061"/>
            <w:tcMar>
              <w:top w:w="0" w:type="dxa"/>
              <w:left w:w="0" w:type="dxa"/>
              <w:bottom w:w="0" w:type="dxa"/>
              <w:right w:w="0" w:type="dxa"/>
            </w:tcMar>
            <w:vAlign w:val="top"/>
            <w:tcMar>
              <w:top w:w="0" w:type="dxa"/>
              <w:left w:w="0" w:type="dxa"/>
              <w:bottom w:w="283" w:type="dxa"/>
              <w:right w:w="0" w:type="dxa"/>
            </w:tcMar>
          </w:tcPr>
          <w:p>
            <w:pPr>
              <w:spacing w:before="0" w:after="120" w:line="240" w:lineRule="auto"/>
              <w:pBdr>
                <w:bottom w:val="single" w:sz="4" w:color="D9D1C4" w:space="0"/>
              </w:pBdr>
            </w:pPr>
            <w:r>
              <w:rPr>
                <w:rFonts w:ascii="Arial" w:hAnsi="Arial"/>
                <w:b w:val="0"/>
                <w:color w:val="111111"/>
                <w:sz w:val="2"/>
              </w:rPr>
            </w:r>
          </w:p>
          <w:p>
            <w:pPr>
              <w:spacing w:before="0" w:after="100" w:line="274" w:lineRule="auto"/>
            </w:pPr>
            <w:r>
              <w:rPr>
                <w:rFonts w:ascii="Arial" w:hAnsi="Arial"/>
                <w:b/>
                <w:color w:val="0F382E"/>
                <w:sz w:val="20"/>
              </w:rPr>
              <w:t>Residential construction</w:t>
            </w:r>
          </w:p>
          <w:p>
            <w:pPr>
              <w:spacing w:before="0" w:after="0" w:line="281" w:lineRule="auto"/>
            </w:pPr>
            <w:r>
              <w:rPr>
                <w:rFonts w:ascii="Arial" w:hAnsi="Arial"/>
                <w:b w:val="0"/>
                <w:color w:val="5C625B"/>
                <w:sz w:val="18"/>
              </w:rPr>
              <w:t>New homes, alterations, additions and bespoke residential work.</w:t>
            </w:r>
          </w:p>
        </w:tc>
        <w:tc>
          <w:tcPr>
            <w:tcW w:type="dxa" w:w="340"/>
            <w:tcMar>
              <w:top w:w="0" w:type="dxa"/>
              <w:left w:w="0" w:type="dxa"/>
              <w:bottom w:w="0" w:type="dxa"/>
              <w:right w:w="0" w:type="dxa"/>
            </w:tcMar>
            <w:vAlign w:val="top"/>
          </w:tcPr>
          <w:p/>
        </w:tc>
        <w:tc>
          <w:tcPr>
            <w:tcW w:type="dxa" w:w="3061"/>
            <w:tcMar>
              <w:top w:w="0" w:type="dxa"/>
              <w:left w:w="0" w:type="dxa"/>
              <w:bottom w:w="0" w:type="dxa"/>
              <w:right w:w="0" w:type="dxa"/>
            </w:tcMar>
            <w:vAlign w:val="top"/>
            <w:tcMar>
              <w:top w:w="0" w:type="dxa"/>
              <w:left w:w="0" w:type="dxa"/>
              <w:bottom w:w="283" w:type="dxa"/>
              <w:right w:w="0" w:type="dxa"/>
            </w:tcMar>
          </w:tcPr>
          <w:p>
            <w:pPr>
              <w:spacing w:before="0" w:after="120" w:line="240" w:lineRule="auto"/>
              <w:pBdr>
                <w:bottom w:val="single" w:sz="4" w:color="D9D1C4" w:space="0"/>
              </w:pBdr>
            </w:pPr>
            <w:r>
              <w:rPr>
                <w:rFonts w:ascii="Arial" w:hAnsi="Arial"/>
                <w:b w:val="0"/>
                <w:color w:val="111111"/>
                <w:sz w:val="2"/>
              </w:rPr>
            </w:r>
          </w:p>
          <w:p>
            <w:pPr>
              <w:spacing w:before="0" w:after="100" w:line="274" w:lineRule="auto"/>
            </w:pPr>
            <w:r>
              <w:rPr>
                <w:rFonts w:ascii="Arial" w:hAnsi="Arial"/>
                <w:b/>
                <w:color w:val="0F382E"/>
                <w:sz w:val="20"/>
              </w:rPr>
              <w:t>Preconstruction &amp; estimating</w:t>
            </w:r>
          </w:p>
          <w:p>
            <w:pPr>
              <w:spacing w:before="0" w:after="0" w:line="281" w:lineRule="auto"/>
            </w:pPr>
            <w:r>
              <w:rPr>
                <w:rFonts w:ascii="Arial" w:hAnsi="Arial"/>
                <w:b w:val="0"/>
                <w:color w:val="5C625B"/>
                <w:sz w:val="18"/>
              </w:rPr>
              <w:t>Scope review, cost planning, tender strategy and trade package analysis.</w:t>
            </w:r>
          </w:p>
        </w:tc>
      </w:tr>
      <w:tr>
        <w:trPr>
          <w:cantSplit/>
        </w:trPr>
        <w:tc>
          <w:tcPr>
            <w:tcW w:type="dxa" w:w="3061"/>
            <w:tcMar>
              <w:top w:w="0" w:type="dxa"/>
              <w:left w:w="0" w:type="dxa"/>
              <w:bottom w:w="0" w:type="dxa"/>
              <w:right w:w="0" w:type="dxa"/>
            </w:tcMar>
            <w:vAlign w:val="top"/>
            <w:tcMar>
              <w:top w:w="0" w:type="dxa"/>
              <w:left w:w="0" w:type="dxa"/>
              <w:bottom w:w="283" w:type="dxa"/>
              <w:right w:w="0" w:type="dxa"/>
            </w:tcMar>
          </w:tcPr>
          <w:p>
            <w:pPr>
              <w:spacing w:before="0" w:after="120" w:line="240" w:lineRule="auto"/>
              <w:pBdr>
                <w:bottom w:val="single" w:sz="4" w:color="D9D1C4" w:space="0"/>
              </w:pBdr>
            </w:pPr>
            <w:r>
              <w:rPr>
                <w:rFonts w:ascii="Arial" w:hAnsi="Arial"/>
                <w:b w:val="0"/>
                <w:color w:val="111111"/>
                <w:sz w:val="2"/>
              </w:rPr>
            </w:r>
          </w:p>
          <w:p>
            <w:pPr>
              <w:spacing w:before="0" w:after="100" w:line="274" w:lineRule="auto"/>
            </w:pPr>
            <w:r>
              <w:rPr>
                <w:rFonts w:ascii="Arial" w:hAnsi="Arial"/>
                <w:b/>
                <w:color w:val="0F382E"/>
                <w:sz w:val="20"/>
              </w:rPr>
              <w:t>Commercial management</w:t>
            </w:r>
          </w:p>
          <w:p>
            <w:pPr>
              <w:spacing w:before="0" w:after="0" w:line="281" w:lineRule="auto"/>
            </w:pPr>
            <w:r>
              <w:rPr>
                <w:rFonts w:ascii="Arial" w:hAnsi="Arial"/>
                <w:b w:val="0"/>
                <w:color w:val="5C625B"/>
                <w:sz w:val="18"/>
              </w:rPr>
              <w:t>Contracts, procurement, cost control, progress claims and reporting.</w:t>
            </w:r>
          </w:p>
        </w:tc>
        <w:tc>
          <w:tcPr>
            <w:tcW w:type="dxa" w:w="340"/>
            <w:tcMar>
              <w:top w:w="0" w:type="dxa"/>
              <w:left w:w="0" w:type="dxa"/>
              <w:bottom w:w="0" w:type="dxa"/>
              <w:right w:w="0" w:type="dxa"/>
            </w:tcMar>
            <w:vAlign w:val="top"/>
          </w:tcPr>
          <w:p/>
        </w:tc>
        <w:tc>
          <w:tcPr>
            <w:tcW w:type="dxa" w:w="3061"/>
            <w:tcMar>
              <w:top w:w="0" w:type="dxa"/>
              <w:left w:w="0" w:type="dxa"/>
              <w:bottom w:w="0" w:type="dxa"/>
              <w:right w:w="0" w:type="dxa"/>
            </w:tcMar>
            <w:vAlign w:val="top"/>
            <w:tcMar>
              <w:top w:w="0" w:type="dxa"/>
              <w:left w:w="0" w:type="dxa"/>
              <w:bottom w:w="283" w:type="dxa"/>
              <w:right w:w="0" w:type="dxa"/>
            </w:tcMar>
          </w:tcPr>
          <w:p>
            <w:pPr>
              <w:spacing w:before="0" w:after="120" w:line="240" w:lineRule="auto"/>
              <w:pBdr>
                <w:bottom w:val="single" w:sz="4" w:color="D9D1C4" w:space="0"/>
              </w:pBdr>
            </w:pPr>
            <w:r>
              <w:rPr>
                <w:rFonts w:ascii="Arial" w:hAnsi="Arial"/>
                <w:b w:val="0"/>
                <w:color w:val="111111"/>
                <w:sz w:val="2"/>
              </w:rPr>
            </w:r>
          </w:p>
          <w:p>
            <w:pPr>
              <w:spacing w:before="0" w:after="100" w:line="274" w:lineRule="auto"/>
            </w:pPr>
            <w:r>
              <w:rPr>
                <w:rFonts w:ascii="Arial" w:hAnsi="Arial"/>
                <w:b/>
                <w:color w:val="0F382E"/>
                <w:sz w:val="20"/>
              </w:rPr>
              <w:t>Construction management</w:t>
            </w:r>
          </w:p>
          <w:p>
            <w:pPr>
              <w:spacing w:before="0" w:after="0" w:line="281" w:lineRule="auto"/>
            </w:pPr>
            <w:r>
              <w:rPr>
                <w:rFonts w:ascii="Arial" w:hAnsi="Arial"/>
                <w:b w:val="0"/>
                <w:color w:val="5C625B"/>
                <w:sz w:val="18"/>
              </w:rPr>
              <w:t>Site leadership, programme coordination, trade management and quality.</w:t>
            </w:r>
          </w:p>
        </w:tc>
        <w:tc>
          <w:tcPr>
            <w:tcW w:type="dxa" w:w="340"/>
            <w:tcMar>
              <w:top w:w="0" w:type="dxa"/>
              <w:left w:w="0" w:type="dxa"/>
              <w:bottom w:w="0" w:type="dxa"/>
              <w:right w:w="0" w:type="dxa"/>
            </w:tcMar>
            <w:vAlign w:val="top"/>
          </w:tcPr>
          <w:p/>
        </w:tc>
        <w:tc>
          <w:tcPr>
            <w:tcW w:type="dxa" w:w="3061"/>
            <w:tcMar>
              <w:top w:w="0" w:type="dxa"/>
              <w:left w:w="0" w:type="dxa"/>
              <w:bottom w:w="0" w:type="dxa"/>
              <w:right w:w="0" w:type="dxa"/>
            </w:tcMar>
            <w:vAlign w:val="top"/>
            <w:tcMar>
              <w:top w:w="0" w:type="dxa"/>
              <w:left w:w="0" w:type="dxa"/>
              <w:bottom w:w="283" w:type="dxa"/>
              <w:right w:w="0" w:type="dxa"/>
            </w:tcMar>
          </w:tcPr>
          <w:p>
            <w:pPr>
              <w:spacing w:before="0" w:after="120" w:line="240" w:lineRule="auto"/>
              <w:pBdr>
                <w:bottom w:val="single" w:sz="4" w:color="D9D1C4" w:space="0"/>
              </w:pBdr>
            </w:pPr>
            <w:r>
              <w:rPr>
                <w:rFonts w:ascii="Arial" w:hAnsi="Arial"/>
                <w:b w:val="0"/>
                <w:color w:val="111111"/>
                <w:sz w:val="2"/>
              </w:rPr>
            </w:r>
          </w:p>
          <w:p>
            <w:pPr>
              <w:spacing w:before="0" w:after="100" w:line="274" w:lineRule="auto"/>
            </w:pPr>
            <w:r>
              <w:rPr>
                <w:rFonts w:ascii="Arial" w:hAnsi="Arial"/>
                <w:b/>
                <w:color w:val="0F382E"/>
                <w:sz w:val="20"/>
              </w:rPr>
              <w:t>Design &amp; build support</w:t>
            </w:r>
          </w:p>
          <w:p>
            <w:pPr>
              <w:spacing w:before="0" w:after="0" w:line="281" w:lineRule="auto"/>
            </w:pPr>
            <w:r>
              <w:rPr>
                <w:rFonts w:ascii="Arial" w:hAnsi="Arial"/>
                <w:b w:val="0"/>
                <w:color w:val="5C625B"/>
                <w:sz w:val="18"/>
              </w:rPr>
              <w:t>Buildability input and coordination from design development to handover.</w:t>
            </w:r>
          </w:p>
        </w:tc>
      </w:tr>
    </w:tbl>
    <w:p>
      <w:r>
        <w:br w:type="page"/>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5669"/>
        <w:gridCol w:w="4195"/>
      </w:tblGrid>
      <w:tr>
        <w:trPr>
          <w:cantSplit/>
        </w:trPr>
        <w:tc>
          <w:tcPr>
            <w:tcW w:type="dxa" w:w="5669"/>
            <w:tcMar>
              <w:top w:w="0" w:type="dxa"/>
              <w:left w:w="0" w:type="dxa"/>
              <w:bottom w:w="0" w:type="dxa"/>
              <w:right w:w="0" w:type="dxa"/>
            </w:tcMar>
            <w:vAlign w:val="top"/>
          </w:tcPr>
          <w:p>
            <w:pPr>
              <w:spacing w:before="0" w:after="0" w:line="240" w:lineRule="auto"/>
            </w:pPr>
            <w:r>
              <w:rPr>
                <w:rFonts w:ascii="Arial" w:hAnsi="Arial"/>
                <w:b w:val="0"/>
                <w:color w:val="111111"/>
                <w:sz w:val="2"/>
              </w:rPr>
            </w:r>
            <w:r>
              <w:drawing>
                <wp:inline xmlns:a="http://schemas.openxmlformats.org/drawingml/2006/main" xmlns:pic="http://schemas.openxmlformats.org/drawingml/2006/picture">
                  <wp:extent cx="1836000" cy="460530"/>
                  <wp:docPr id="3" name="Picture 3" descr="Palmyra Projects — transparent wordmark and palm"/>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1836000" cy="460530"/>
                          </a:xfrm>
                          <a:prstGeom prst="rect"/>
                        </pic:spPr>
                      </pic:pic>
                    </a:graphicData>
                  </a:graphic>
                </wp:inline>
              </w:drawing>
            </w:r>
          </w:p>
        </w:tc>
        <w:tc>
          <w:tcPr>
            <w:tcW w:type="dxa" w:w="4195"/>
            <w:tcMar>
              <w:top w:w="0" w:type="dxa"/>
              <w:left w:w="0" w:type="dxa"/>
              <w:bottom w:w="0" w:type="dxa"/>
              <w:right w:w="0" w:type="dxa"/>
            </w:tcMar>
            <w:vAlign w:val="center"/>
          </w:tcPr>
          <w:p>
            <w:pPr>
              <w:spacing w:before="0" w:after="0" w:line="274" w:lineRule="auto"/>
              <w:jc w:val="right"/>
            </w:pPr>
            <w:r>
              <w:rPr>
                <w:rFonts w:ascii="Arial" w:hAnsi="Arial"/>
                <w:b w:val="0"/>
                <w:color w:val="756D63"/>
                <w:sz w:val="16"/>
              </w:rPr>
              <w:t>PAST PROJECTS</w:t>
            </w:r>
          </w:p>
        </w:tc>
      </w:tr>
    </w:tbl>
    <w:p>
      <w:pPr>
        <w:spacing w:before="0" w:after="0" w:line="283" w:lineRule="exact"/>
      </w:pPr>
      <w:r>
        <w:rPr>
          <w:sz w:val="2"/>
        </w:rPr>
      </w:r>
    </w:p>
    <w:p>
      <w:pPr>
        <w:pStyle w:val="Heading1"/>
        <w:spacing w:before="0" w:after="140" w:line="250" w:lineRule="auto"/>
      </w:pPr>
      <w:r>
        <w:rPr>
          <w:rFonts w:ascii="Times New Roman" w:hAnsi="Times New Roman"/>
          <w:b w:val="0"/>
          <w:color w:val="0F382E"/>
          <w:sz w:val="66"/>
        </w:rPr>
        <w:t>Experience in every detail.</w:t>
      </w:r>
    </w:p>
    <w:p>
      <w:pPr>
        <w:spacing w:before="0" w:after="300" w:line="288" w:lineRule="auto"/>
      </w:pPr>
      <w:r>
        <w:rPr>
          <w:rFonts w:ascii="Arial" w:hAnsi="Arial"/>
          <w:b w:val="0"/>
          <w:color w:val="5C625B"/>
          <w:sz w:val="21"/>
        </w:rPr>
        <w:t>Selected experience of the Palmyra Projects team across hospitality, workplace amenities and residential construction.</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3175"/>
        <w:gridCol w:w="454"/>
        <w:gridCol w:w="6236"/>
      </w:tblGrid>
      <w:tr>
        <w:trPr>
          <w:cantSplit/>
        </w:trPr>
        <w:tc>
          <w:tcPr>
            <w:tcW w:type="dxa" w:w="3175"/>
            <w:tcMar>
              <w:top w:w="0" w:type="dxa"/>
              <w:left w:w="0" w:type="dxa"/>
              <w:bottom w:w="0" w:type="dxa"/>
              <w:right w:w="0" w:type="dxa"/>
            </w:tcMar>
            <w:vAlign w:val="top"/>
          </w:tcPr>
          <w:p>
            <w:pPr>
              <w:spacing w:before="0" w:after="0" w:line="240" w:lineRule="auto"/>
            </w:pPr>
            <w:r>
              <w:rPr>
                <w:rFonts w:ascii="Arial" w:hAnsi="Arial"/>
                <w:b w:val="0"/>
                <w:color w:val="111111"/>
                <w:sz w:val="2"/>
              </w:rPr>
            </w:r>
            <w:r>
              <w:drawing>
                <wp:inline xmlns:a="http://schemas.openxmlformats.org/drawingml/2006/main" xmlns:pic="http://schemas.openxmlformats.org/drawingml/2006/picture">
                  <wp:extent cx="2016000" cy="1252042"/>
                  <wp:docPr id="4" name="Picture 4" descr="Roxy’s Café, Double Bay — original project photograph"/>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2016000" cy="1252042"/>
                          </a:xfrm>
                          <a:prstGeom prst="rect"/>
                        </pic:spPr>
                      </pic:pic>
                    </a:graphicData>
                  </a:graphic>
                </wp:inline>
              </w:drawing>
            </w:r>
          </w:p>
        </w:tc>
        <w:tc>
          <w:tcPr>
            <w:tcW w:type="dxa" w:w="454"/>
            <w:tcMar>
              <w:top w:w="0" w:type="dxa"/>
              <w:left w:w="0" w:type="dxa"/>
              <w:bottom w:w="0" w:type="dxa"/>
              <w:right w:w="0" w:type="dxa"/>
            </w:tcMar>
            <w:vAlign w:val="top"/>
          </w:tcPr>
          <w:p/>
        </w:tc>
        <w:tc>
          <w:tcPr>
            <w:tcW w:type="dxa" w:w="6236"/>
            <w:tcMar>
              <w:top w:w="0" w:type="dxa"/>
              <w:left w:w="0" w:type="dxa"/>
              <w:bottom w:w="0" w:type="dxa"/>
              <w:right w:w="0" w:type="dxa"/>
            </w:tcMar>
            <w:vAlign w:val="top"/>
          </w:tcPr>
          <w:p>
            <w:pPr>
              <w:spacing w:before="0" w:after="80" w:line="274" w:lineRule="auto"/>
            </w:pPr>
            <w:r>
              <w:rPr>
                <w:rFonts w:ascii="Arial" w:hAnsi="Arial"/>
                <w:b/>
                <w:color w:val="756D63"/>
                <w:sz w:val="16"/>
                <w:spacing w:val="20"/>
              </w:rPr>
              <w:t>HOSPITALITY  /  DOUBLE BAY, NSW</w:t>
            </w:r>
          </w:p>
          <w:p>
            <w:pPr>
              <w:pStyle w:val="Heading2"/>
              <w:spacing w:before="0" w:after="100" w:line="250" w:lineRule="auto"/>
            </w:pPr>
            <w:r>
              <w:rPr>
                <w:rFonts w:ascii="Times New Roman" w:hAnsi="Times New Roman"/>
                <w:b w:val="0"/>
                <w:color w:val="0F382E"/>
                <w:sz w:val="38"/>
              </w:rPr>
              <w:t>Roxy’s Café, Double Bay</w:t>
            </w:r>
          </w:p>
          <w:p>
            <w:pPr>
              <w:spacing w:before="0" w:after="120" w:line="283" w:lineRule="auto"/>
            </w:pPr>
            <w:r>
              <w:rPr>
                <w:rFonts w:ascii="Arial" w:hAnsi="Arial"/>
                <w:b w:val="0"/>
                <w:color w:val="5C625B"/>
                <w:sz w:val="19"/>
              </w:rPr>
              <w:t>A warm café environment shaped by timber seating, neutral textures and coordinated detailing. Joinery and finishes create a welcoming setting for customers.</w:t>
            </w:r>
          </w:p>
          <w:p>
            <w:pPr>
              <w:spacing w:before="0" w:after="0" w:line="278" w:lineRule="auto"/>
            </w:pPr>
            <w:r>
              <w:rPr>
                <w:rFonts w:ascii="Arial" w:hAnsi="Arial"/>
                <w:b/>
                <w:color w:val="0F382E"/>
                <w:sz w:val="16"/>
              </w:rPr>
              <w:t xml:space="preserve">SCOPE  </w:t>
            </w:r>
            <w:r>
              <w:rPr>
                <w:rFonts w:ascii="Arial" w:hAnsi="Arial"/>
                <w:color w:val="5C625B"/>
                <w:sz w:val="17"/>
              </w:rPr>
              <w:t>Joinery and interior finishes.</w:t>
            </w:r>
          </w:p>
        </w:tc>
      </w:tr>
    </w:tbl>
    <w:p>
      <w:pPr>
        <w:spacing w:before="0" w:after="0" w:line="227" w:lineRule="exact"/>
      </w:pPr>
      <w:r>
        <w:rPr>
          <w:sz w:val="2"/>
        </w:rPr>
      </w:r>
    </w:p>
    <w:p>
      <w:pPr>
        <w:spacing w:before="0" w:after="180" w:line="240" w:lineRule="auto"/>
        <w:pBdr>
          <w:bottom w:val="single" w:sz="4" w:color="D9D1C4" w:space="0"/>
        </w:pBdr>
      </w:pPr>
      <w:r>
        <w:rPr>
          <w:rFonts w:ascii="Arial" w:hAnsi="Arial"/>
          <w:b w:val="0"/>
          <w:color w:val="111111"/>
          <w:sz w:val="2"/>
        </w:rPr>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3175"/>
        <w:gridCol w:w="454"/>
        <w:gridCol w:w="6236"/>
      </w:tblGrid>
      <w:tr>
        <w:trPr>
          <w:cantSplit/>
        </w:trPr>
        <w:tc>
          <w:tcPr>
            <w:tcW w:type="dxa" w:w="3175"/>
            <w:tcMar>
              <w:top w:w="0" w:type="dxa"/>
              <w:left w:w="0" w:type="dxa"/>
              <w:bottom w:w="0" w:type="dxa"/>
              <w:right w:w="0" w:type="dxa"/>
            </w:tcMar>
            <w:vAlign w:val="top"/>
          </w:tcPr>
          <w:p>
            <w:pPr>
              <w:spacing w:before="0" w:after="0" w:line="240" w:lineRule="auto"/>
            </w:pPr>
            <w:r>
              <w:rPr>
                <w:rFonts w:ascii="Arial" w:hAnsi="Arial"/>
                <w:b w:val="0"/>
                <w:color w:val="111111"/>
                <w:sz w:val="2"/>
              </w:rPr>
            </w:r>
            <w:r>
              <w:drawing>
                <wp:inline xmlns:a="http://schemas.openxmlformats.org/drawingml/2006/main" xmlns:pic="http://schemas.openxmlformats.org/drawingml/2006/picture">
                  <wp:extent cx="2016000" cy="1341556"/>
                  <wp:docPr id="5" name="Picture 5" descr="420 George St End of Trip — original project photograph"/>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2016000" cy="1341556"/>
                          </a:xfrm>
                          <a:prstGeom prst="rect"/>
                        </pic:spPr>
                      </pic:pic>
                    </a:graphicData>
                  </a:graphic>
                </wp:inline>
              </w:drawing>
            </w:r>
          </w:p>
        </w:tc>
        <w:tc>
          <w:tcPr>
            <w:tcW w:type="dxa" w:w="454"/>
            <w:tcMar>
              <w:top w:w="0" w:type="dxa"/>
              <w:left w:w="0" w:type="dxa"/>
              <w:bottom w:w="0" w:type="dxa"/>
              <w:right w:w="0" w:type="dxa"/>
            </w:tcMar>
            <w:vAlign w:val="top"/>
          </w:tcPr>
          <w:p/>
        </w:tc>
        <w:tc>
          <w:tcPr>
            <w:tcW w:type="dxa" w:w="6236"/>
            <w:tcMar>
              <w:top w:w="0" w:type="dxa"/>
              <w:left w:w="0" w:type="dxa"/>
              <w:bottom w:w="0" w:type="dxa"/>
              <w:right w:w="0" w:type="dxa"/>
            </w:tcMar>
            <w:vAlign w:val="top"/>
          </w:tcPr>
          <w:p>
            <w:pPr>
              <w:spacing w:before="0" w:after="80" w:line="274" w:lineRule="auto"/>
            </w:pPr>
            <w:r>
              <w:rPr>
                <w:rFonts w:ascii="Arial" w:hAnsi="Arial"/>
                <w:b/>
                <w:color w:val="756D63"/>
                <w:sz w:val="16"/>
                <w:spacing w:val="20"/>
              </w:rPr>
              <w:t>COMMERCIAL  /  SYDNEY, NSW</w:t>
            </w:r>
          </w:p>
          <w:p>
            <w:pPr>
              <w:pStyle w:val="Heading2"/>
              <w:spacing w:before="0" w:after="100" w:line="250" w:lineRule="auto"/>
            </w:pPr>
            <w:r>
              <w:rPr>
                <w:rFonts w:ascii="Times New Roman" w:hAnsi="Times New Roman"/>
                <w:b w:val="0"/>
                <w:color w:val="0F382E"/>
                <w:sz w:val="38"/>
              </w:rPr>
              <w:t>420 George St End of Trip</w:t>
            </w:r>
          </w:p>
          <w:p>
            <w:pPr>
              <w:spacing w:before="0" w:after="120" w:line="283" w:lineRule="auto"/>
            </w:pPr>
            <w:r>
              <w:rPr>
                <w:rFonts w:ascii="Arial" w:hAnsi="Arial"/>
                <w:b w:val="0"/>
                <w:color w:val="5C625B"/>
                <w:sz w:val="19"/>
              </w:rPr>
              <w:t>Refined workplace amenities combine integrated lockers, timber joinery and durable finishes. The fit-out balances everyday function with a polished tenant experience.</w:t>
            </w:r>
          </w:p>
          <w:p>
            <w:pPr>
              <w:spacing w:before="0" w:after="0" w:line="278" w:lineRule="auto"/>
            </w:pPr>
            <w:r>
              <w:rPr>
                <w:rFonts w:ascii="Arial" w:hAnsi="Arial"/>
                <w:b/>
                <w:color w:val="0F382E"/>
                <w:sz w:val="16"/>
              </w:rPr>
              <w:t xml:space="preserve">SCOPE  </w:t>
            </w:r>
            <w:r>
              <w:rPr>
                <w:rFonts w:ascii="Arial" w:hAnsi="Arial"/>
                <w:color w:val="5C625B"/>
                <w:sz w:val="17"/>
              </w:rPr>
              <w:t>Amenities fit-out, joinery, lockers, seating and finishes.</w:t>
            </w:r>
          </w:p>
        </w:tc>
      </w:tr>
    </w:tbl>
    <w:p>
      <w:pPr>
        <w:spacing w:before="0" w:after="0" w:line="227" w:lineRule="exact"/>
      </w:pPr>
      <w:r>
        <w:rPr>
          <w:sz w:val="2"/>
        </w:rPr>
      </w:r>
    </w:p>
    <w:p>
      <w:pPr>
        <w:spacing w:before="0" w:after="180" w:line="240" w:lineRule="auto"/>
        <w:pBdr>
          <w:bottom w:val="single" w:sz="4" w:color="D9D1C4" w:space="0"/>
        </w:pBdr>
      </w:pPr>
      <w:r>
        <w:rPr>
          <w:rFonts w:ascii="Arial" w:hAnsi="Arial"/>
          <w:b w:val="0"/>
          <w:color w:val="111111"/>
          <w:sz w:val="2"/>
        </w:rPr>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3175"/>
        <w:gridCol w:w="454"/>
        <w:gridCol w:w="6236"/>
      </w:tblGrid>
      <w:tr>
        <w:trPr>
          <w:cantSplit/>
        </w:trPr>
        <w:tc>
          <w:tcPr>
            <w:tcW w:type="dxa" w:w="3175"/>
            <w:tcMar>
              <w:top w:w="0" w:type="dxa"/>
              <w:left w:w="0" w:type="dxa"/>
              <w:bottom w:w="0" w:type="dxa"/>
              <w:right w:w="0" w:type="dxa"/>
            </w:tcMar>
            <w:vAlign w:val="top"/>
          </w:tcPr>
          <w:p>
            <w:pPr>
              <w:spacing w:before="0" w:after="0" w:line="240" w:lineRule="auto"/>
            </w:pPr>
            <w:r>
              <w:rPr>
                <w:rFonts w:ascii="Arial" w:hAnsi="Arial"/>
                <w:b w:val="0"/>
                <w:color w:val="111111"/>
                <w:sz w:val="2"/>
              </w:rPr>
            </w:r>
            <w:r>
              <w:drawing>
                <wp:inline xmlns:a="http://schemas.openxmlformats.org/drawingml/2006/main" xmlns:pic="http://schemas.openxmlformats.org/drawingml/2006/picture">
                  <wp:extent cx="2016000" cy="1341556"/>
                  <wp:docPr id="6" name="Picture 6" descr="Jbeil Cuisine, Kareela — original project photograph"/>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2016000" cy="1341556"/>
                          </a:xfrm>
                          <a:prstGeom prst="rect"/>
                        </pic:spPr>
                      </pic:pic>
                    </a:graphicData>
                  </a:graphic>
                </wp:inline>
              </w:drawing>
            </w:r>
          </w:p>
        </w:tc>
        <w:tc>
          <w:tcPr>
            <w:tcW w:type="dxa" w:w="454"/>
            <w:tcMar>
              <w:top w:w="0" w:type="dxa"/>
              <w:left w:w="0" w:type="dxa"/>
              <w:bottom w:w="0" w:type="dxa"/>
              <w:right w:w="0" w:type="dxa"/>
            </w:tcMar>
            <w:vAlign w:val="top"/>
          </w:tcPr>
          <w:p/>
        </w:tc>
        <w:tc>
          <w:tcPr>
            <w:tcW w:type="dxa" w:w="6236"/>
            <w:tcMar>
              <w:top w:w="0" w:type="dxa"/>
              <w:left w:w="0" w:type="dxa"/>
              <w:bottom w:w="0" w:type="dxa"/>
              <w:right w:w="0" w:type="dxa"/>
            </w:tcMar>
            <w:vAlign w:val="top"/>
          </w:tcPr>
          <w:p>
            <w:pPr>
              <w:spacing w:before="0" w:after="80" w:line="274" w:lineRule="auto"/>
            </w:pPr>
            <w:r>
              <w:rPr>
                <w:rFonts w:ascii="Arial" w:hAnsi="Arial"/>
                <w:b/>
                <w:color w:val="756D63"/>
                <w:sz w:val="16"/>
                <w:spacing w:val="20"/>
              </w:rPr>
              <w:t>HOSPITALITY  /  KAREELA, NSW</w:t>
            </w:r>
          </w:p>
          <w:p>
            <w:pPr>
              <w:pStyle w:val="Heading2"/>
              <w:spacing w:before="0" w:after="100" w:line="250" w:lineRule="auto"/>
            </w:pPr>
            <w:r>
              <w:rPr>
                <w:rFonts w:ascii="Times New Roman" w:hAnsi="Times New Roman"/>
                <w:b w:val="0"/>
                <w:color w:val="0F382E"/>
                <w:sz w:val="38"/>
              </w:rPr>
              <w:t>Jbeil Cuisine, Kareela</w:t>
            </w:r>
          </w:p>
          <w:p>
            <w:pPr>
              <w:spacing w:before="0" w:after="120" w:line="283" w:lineRule="auto"/>
            </w:pPr>
            <w:r>
              <w:rPr>
                <w:rFonts w:ascii="Arial" w:hAnsi="Arial"/>
                <w:b w:val="0"/>
                <w:color w:val="5C625B"/>
                <w:sz w:val="19"/>
              </w:rPr>
              <w:t>Arched detailing, layered lighting and a warm material palette give the restaurant its distinctive character. Joinery and front-of-house finishes bring the dining environment together.</w:t>
            </w:r>
          </w:p>
          <w:p>
            <w:pPr>
              <w:spacing w:before="0" w:after="0" w:line="278" w:lineRule="auto"/>
            </w:pPr>
            <w:r>
              <w:rPr>
                <w:rFonts w:ascii="Arial" w:hAnsi="Arial"/>
                <w:b/>
                <w:color w:val="0F382E"/>
                <w:sz w:val="16"/>
              </w:rPr>
              <w:t xml:space="preserve">SCOPE  </w:t>
            </w:r>
            <w:r>
              <w:rPr>
                <w:rFonts w:ascii="Arial" w:hAnsi="Arial"/>
                <w:color w:val="5C625B"/>
                <w:sz w:val="17"/>
              </w:rPr>
              <w:t>Dining fit-out, joinery and front-of-house finishes.</w:t>
            </w:r>
          </w:p>
        </w:tc>
      </w:tr>
    </w:tbl>
    <w:p>
      <w:pPr>
        <w:spacing w:before="0" w:after="0" w:line="227" w:lineRule="exact"/>
      </w:pPr>
      <w:r>
        <w:rPr>
          <w:sz w:val="2"/>
        </w:rPr>
      </w:r>
    </w:p>
    <w:p>
      <w:pPr>
        <w:spacing w:before="0" w:after="180" w:line="240" w:lineRule="auto"/>
        <w:pBdr>
          <w:bottom w:val="single" w:sz="4" w:color="D9D1C4" w:space="0"/>
        </w:pBdr>
      </w:pPr>
      <w:r>
        <w:rPr>
          <w:rFonts w:ascii="Arial" w:hAnsi="Arial"/>
          <w:b w:val="0"/>
          <w:color w:val="111111"/>
          <w:sz w:val="2"/>
        </w:rPr>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3175"/>
        <w:gridCol w:w="454"/>
        <w:gridCol w:w="6236"/>
      </w:tblGrid>
      <w:tr>
        <w:trPr>
          <w:cantSplit/>
        </w:trPr>
        <w:tc>
          <w:tcPr>
            <w:tcW w:type="dxa" w:w="3175"/>
            <w:tcMar>
              <w:top w:w="0" w:type="dxa"/>
              <w:left w:w="0" w:type="dxa"/>
              <w:bottom w:w="0" w:type="dxa"/>
              <w:right w:w="0" w:type="dxa"/>
            </w:tcMar>
            <w:vAlign w:val="top"/>
          </w:tcPr>
          <w:p>
            <w:pPr>
              <w:spacing w:before="0" w:after="0" w:line="240" w:lineRule="auto"/>
            </w:pPr>
            <w:r>
              <w:rPr>
                <w:rFonts w:ascii="Arial" w:hAnsi="Arial"/>
                <w:b w:val="0"/>
                <w:color w:val="111111"/>
                <w:sz w:val="2"/>
              </w:rPr>
            </w:r>
            <w:r>
              <w:drawing>
                <wp:inline xmlns:a="http://schemas.openxmlformats.org/drawingml/2006/main" xmlns:pic="http://schemas.openxmlformats.org/drawingml/2006/picture">
                  <wp:extent cx="2016000" cy="985927"/>
                  <wp:docPr id="7" name="Picture 7" descr="Tower St, Panania — original project photograph"/>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2016000" cy="985927"/>
                          </a:xfrm>
                          <a:prstGeom prst="rect"/>
                        </pic:spPr>
                      </pic:pic>
                    </a:graphicData>
                  </a:graphic>
                </wp:inline>
              </w:drawing>
            </w:r>
          </w:p>
        </w:tc>
        <w:tc>
          <w:tcPr>
            <w:tcW w:type="dxa" w:w="454"/>
            <w:tcMar>
              <w:top w:w="0" w:type="dxa"/>
              <w:left w:w="0" w:type="dxa"/>
              <w:bottom w:w="0" w:type="dxa"/>
              <w:right w:w="0" w:type="dxa"/>
            </w:tcMar>
            <w:vAlign w:val="top"/>
          </w:tcPr>
          <w:p/>
        </w:tc>
        <w:tc>
          <w:tcPr>
            <w:tcW w:type="dxa" w:w="6236"/>
            <w:tcMar>
              <w:top w:w="0" w:type="dxa"/>
              <w:left w:w="0" w:type="dxa"/>
              <w:bottom w:w="0" w:type="dxa"/>
              <w:right w:w="0" w:type="dxa"/>
            </w:tcMar>
            <w:vAlign w:val="top"/>
          </w:tcPr>
          <w:p>
            <w:pPr>
              <w:spacing w:before="0" w:after="80" w:line="274" w:lineRule="auto"/>
            </w:pPr>
            <w:r>
              <w:rPr>
                <w:rFonts w:ascii="Arial" w:hAnsi="Arial"/>
                <w:b/>
                <w:color w:val="756D63"/>
                <w:sz w:val="16"/>
                <w:spacing w:val="20"/>
              </w:rPr>
              <w:t>RESIDENTIAL  /  PANANIA, NSW</w:t>
            </w:r>
          </w:p>
          <w:p>
            <w:pPr>
              <w:pStyle w:val="Heading2"/>
              <w:spacing w:before="0" w:after="100" w:line="250" w:lineRule="auto"/>
            </w:pPr>
            <w:r>
              <w:rPr>
                <w:rFonts w:ascii="Times New Roman" w:hAnsi="Times New Roman"/>
                <w:b w:val="0"/>
                <w:color w:val="0F382E"/>
                <w:sz w:val="38"/>
              </w:rPr>
              <w:t>Tower St, Panania</w:t>
            </w:r>
          </w:p>
          <w:p>
            <w:pPr>
              <w:spacing w:before="0" w:after="120" w:line="283" w:lineRule="auto"/>
            </w:pPr>
            <w:r>
              <w:rPr>
                <w:rFonts w:ascii="Arial" w:hAnsi="Arial"/>
                <w:b w:val="0"/>
                <w:color w:val="5C625B"/>
                <w:sz w:val="19"/>
              </w:rPr>
              <w:t>Delivered as a design and construct project, this contemporary residence brings together craftsmanship, light and liveability. Architectural detailing connects interior finishes with the exterior and outdoor entertaining spaces.</w:t>
            </w:r>
          </w:p>
          <w:p>
            <w:pPr>
              <w:spacing w:before="0" w:after="0" w:line="278" w:lineRule="auto"/>
            </w:pPr>
            <w:r>
              <w:rPr>
                <w:rFonts w:ascii="Arial" w:hAnsi="Arial"/>
                <w:b/>
                <w:color w:val="0F382E"/>
                <w:sz w:val="16"/>
              </w:rPr>
              <w:t xml:space="preserve">SCOPE  </w:t>
            </w:r>
            <w:r>
              <w:rPr>
                <w:rFonts w:ascii="Arial" w:hAnsi="Arial"/>
                <w:color w:val="5C625B"/>
                <w:sz w:val="17"/>
              </w:rPr>
              <w:t>Design and construct, bathroom finishes and external entertaining areas.</w:t>
            </w:r>
          </w:p>
        </w:tc>
      </w:tr>
    </w:tbl>
    <w:p>
      <w:pPr>
        <w:spacing w:before="0" w:after="0" w:line="227" w:lineRule="exact"/>
      </w:pPr>
      <w:r>
        <w:rPr>
          <w:sz w:val="2"/>
        </w:rPr>
      </w:r>
    </w:p>
    <w:p>
      <w:r>
        <w:br w:type="page"/>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5669"/>
        <w:gridCol w:w="4195"/>
      </w:tblGrid>
      <w:tr>
        <w:trPr>
          <w:cantSplit/>
        </w:trPr>
        <w:tc>
          <w:tcPr>
            <w:tcW w:type="dxa" w:w="5669"/>
            <w:tcMar>
              <w:top w:w="0" w:type="dxa"/>
              <w:left w:w="0" w:type="dxa"/>
              <w:bottom w:w="0" w:type="dxa"/>
              <w:right w:w="0" w:type="dxa"/>
            </w:tcMar>
            <w:vAlign w:val="top"/>
          </w:tcPr>
          <w:p>
            <w:pPr>
              <w:spacing w:before="0" w:after="0" w:line="240" w:lineRule="auto"/>
            </w:pPr>
            <w:r>
              <w:rPr>
                <w:rFonts w:ascii="Arial" w:hAnsi="Arial"/>
                <w:b w:val="0"/>
                <w:color w:val="111111"/>
                <w:sz w:val="2"/>
              </w:rPr>
            </w:r>
            <w:r>
              <w:drawing>
                <wp:inline xmlns:a="http://schemas.openxmlformats.org/drawingml/2006/main" xmlns:pic="http://schemas.openxmlformats.org/drawingml/2006/picture">
                  <wp:extent cx="1836000" cy="460530"/>
                  <wp:docPr id="8" name="Picture 8" descr="Palmyra Projects — transparent wordmark and palm"/>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1836000" cy="460530"/>
                          </a:xfrm>
                          <a:prstGeom prst="rect"/>
                        </pic:spPr>
                      </pic:pic>
                    </a:graphicData>
                  </a:graphic>
                </wp:inline>
              </w:drawing>
            </w:r>
          </w:p>
        </w:tc>
        <w:tc>
          <w:tcPr>
            <w:tcW w:type="dxa" w:w="4195"/>
            <w:tcMar>
              <w:top w:w="0" w:type="dxa"/>
              <w:left w:w="0" w:type="dxa"/>
              <w:bottom w:w="0" w:type="dxa"/>
              <w:right w:w="0" w:type="dxa"/>
            </w:tcMar>
            <w:vAlign w:val="center"/>
          </w:tcPr>
          <w:p>
            <w:pPr>
              <w:spacing w:before="0" w:after="0" w:line="274" w:lineRule="auto"/>
              <w:jc w:val="right"/>
            </w:pPr>
            <w:r>
              <w:rPr>
                <w:rFonts w:ascii="Arial" w:hAnsi="Arial"/>
                <w:b w:val="0"/>
                <w:color w:val="756D63"/>
                <w:sz w:val="16"/>
              </w:rPr>
              <w:t>PEOPLE &amp; DELIVERY</w:t>
            </w:r>
          </w:p>
        </w:tc>
      </w:tr>
    </w:tbl>
    <w:p>
      <w:pPr>
        <w:spacing w:before="0" w:after="0" w:line="283" w:lineRule="exact"/>
      </w:pPr>
      <w:r>
        <w:rPr>
          <w:sz w:val="2"/>
        </w:rPr>
      </w:r>
    </w:p>
    <w:p>
      <w:pPr>
        <w:pStyle w:val="Heading1"/>
        <w:spacing w:before="0" w:after="200" w:line="247" w:lineRule="auto"/>
      </w:pPr>
      <w:r>
        <w:rPr>
          <w:rFonts w:ascii="Times New Roman" w:hAnsi="Times New Roman"/>
          <w:b w:val="0"/>
          <w:color w:val="0F382E"/>
          <w:sz w:val="68"/>
        </w:rPr>
        <w:t>Three disciplines.</w:t>
        <w:br/>
        <w:t>One coordinated team.</w:t>
      </w:r>
    </w:p>
    <w:p>
      <w:pPr>
        <w:spacing w:before="0" w:after="380" w:line="293" w:lineRule="auto"/>
      </w:pPr>
      <w:r>
        <w:rPr>
          <w:rFonts w:ascii="Arial" w:hAnsi="Arial"/>
          <w:b w:val="0"/>
          <w:color w:val="5C625B"/>
          <w:sz w:val="22"/>
        </w:rPr>
        <w:t>Construction execution, estimating clarity and commercial control work together to support informed decisions and accountable delivery.</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3061"/>
        <w:gridCol w:w="340"/>
        <w:gridCol w:w="3061"/>
        <w:gridCol w:w="340"/>
        <w:gridCol w:w="3061"/>
      </w:tblGrid>
      <w:tr>
        <w:trPr>
          <w:cantSplit/>
        </w:trPr>
        <w:tc>
          <w:tcPr>
            <w:tcW w:type="dxa" w:w="3061"/>
            <w:tcMar>
              <w:top w:w="0" w:type="dxa"/>
              <w:left w:w="0" w:type="dxa"/>
              <w:bottom w:w="0" w:type="dxa"/>
              <w:right w:w="0" w:type="dxa"/>
            </w:tcMar>
            <w:vAlign w:val="top"/>
          </w:tcPr>
          <w:p>
            <w:pPr>
              <w:spacing w:before="0" w:after="180" w:line="240" w:lineRule="auto"/>
              <w:pBdr>
                <w:bottom w:val="single" w:sz="6" w:color="D9D1C4" w:space="0"/>
              </w:pBdr>
            </w:pPr>
            <w:r>
              <w:rPr>
                <w:rFonts w:ascii="Arial" w:hAnsi="Arial"/>
                <w:b w:val="0"/>
                <w:color w:val="111111"/>
                <w:sz w:val="2"/>
              </w:rPr>
            </w:r>
          </w:p>
          <w:p>
            <w:pPr>
              <w:pStyle w:val="Heading2"/>
              <w:spacing w:before="0" w:after="100" w:line="264" w:lineRule="auto"/>
            </w:pPr>
            <w:r>
              <w:rPr>
                <w:rFonts w:ascii="Times New Roman" w:hAnsi="Times New Roman"/>
                <w:b w:val="0"/>
                <w:color w:val="0F382E"/>
                <w:sz w:val="36"/>
              </w:rPr>
              <w:t>Hussein Farache</w:t>
            </w:r>
          </w:p>
          <w:p>
            <w:pPr>
              <w:spacing w:before="0" w:after="200" w:line="274" w:lineRule="auto"/>
            </w:pPr>
            <w:r>
              <w:rPr>
                <w:rFonts w:ascii="Arial" w:hAnsi="Arial"/>
                <w:b/>
                <w:color w:val="756D63"/>
                <w:sz w:val="14"/>
              </w:rPr>
              <w:t>CONSTRUCTION MANAGER</w:t>
            </w:r>
          </w:p>
          <w:p>
            <w:pPr>
              <w:spacing w:before="0" w:after="0" w:line="300" w:lineRule="auto"/>
            </w:pPr>
            <w:r>
              <w:rPr>
                <w:rFonts w:ascii="Arial" w:hAnsi="Arial"/>
                <w:b w:val="0"/>
                <w:color w:val="5C625B"/>
                <w:sz w:val="20"/>
              </w:rPr>
              <w:t>Hussein leads construction planning, site execution and trade coordination from commencement through to handover. His focus is the quality of delivery: aligning site activity with the programme, coordinating subcontractors and managing the practical details that bring the project together.</w:t>
            </w:r>
          </w:p>
        </w:tc>
        <w:tc>
          <w:tcPr>
            <w:tcW w:type="dxa" w:w="340"/>
            <w:tcMar>
              <w:top w:w="0" w:type="dxa"/>
              <w:left w:w="0" w:type="dxa"/>
              <w:bottom w:w="0" w:type="dxa"/>
              <w:right w:w="0" w:type="dxa"/>
            </w:tcMar>
            <w:vAlign w:val="top"/>
          </w:tcPr>
          <w:p/>
        </w:tc>
        <w:tc>
          <w:tcPr>
            <w:tcW w:type="dxa" w:w="3061"/>
            <w:tcMar>
              <w:top w:w="0" w:type="dxa"/>
              <w:left w:w="0" w:type="dxa"/>
              <w:bottom w:w="0" w:type="dxa"/>
              <w:right w:w="0" w:type="dxa"/>
            </w:tcMar>
            <w:vAlign w:val="top"/>
          </w:tcPr>
          <w:p>
            <w:pPr>
              <w:spacing w:before="0" w:after="180" w:line="240" w:lineRule="auto"/>
              <w:pBdr>
                <w:bottom w:val="single" w:sz="6" w:color="D9D1C4" w:space="0"/>
              </w:pBdr>
            </w:pPr>
            <w:r>
              <w:rPr>
                <w:rFonts w:ascii="Arial" w:hAnsi="Arial"/>
                <w:b w:val="0"/>
                <w:color w:val="111111"/>
                <w:sz w:val="2"/>
              </w:rPr>
            </w:r>
          </w:p>
          <w:p>
            <w:pPr>
              <w:pStyle w:val="Heading2"/>
              <w:spacing w:before="0" w:after="100" w:line="264" w:lineRule="auto"/>
            </w:pPr>
            <w:r>
              <w:rPr>
                <w:rFonts w:ascii="Times New Roman" w:hAnsi="Times New Roman"/>
                <w:b w:val="0"/>
                <w:color w:val="0F382E"/>
                <w:sz w:val="36"/>
              </w:rPr>
              <w:t>Tarek Farache</w:t>
            </w:r>
          </w:p>
          <w:p>
            <w:pPr>
              <w:spacing w:before="0" w:after="200" w:line="274" w:lineRule="auto"/>
            </w:pPr>
            <w:r>
              <w:rPr>
                <w:rFonts w:ascii="Arial" w:hAnsi="Arial"/>
                <w:b/>
                <w:color w:val="756D63"/>
                <w:sz w:val="14"/>
              </w:rPr>
              <w:t>LEAD ESTIMATOR</w:t>
            </w:r>
          </w:p>
          <w:p>
            <w:pPr>
              <w:spacing w:before="0" w:after="0" w:line="300" w:lineRule="auto"/>
            </w:pPr>
            <w:r>
              <w:rPr>
                <w:rFonts w:ascii="Arial" w:hAnsi="Arial"/>
                <w:b w:val="0"/>
                <w:color w:val="5C625B"/>
                <w:sz w:val="20"/>
              </w:rPr>
              <w:t>Tarek leads estimating, tender strategy and trade package analysis. He brings clarity to scope and cost before construction starts, supporting procurement decisions, identifying value opportunities and helping the team understand the commercial implications of the proposed work.</w:t>
            </w:r>
          </w:p>
        </w:tc>
        <w:tc>
          <w:tcPr>
            <w:tcW w:type="dxa" w:w="340"/>
            <w:tcMar>
              <w:top w:w="0" w:type="dxa"/>
              <w:left w:w="0" w:type="dxa"/>
              <w:bottom w:w="0" w:type="dxa"/>
              <w:right w:w="0" w:type="dxa"/>
            </w:tcMar>
            <w:vAlign w:val="top"/>
          </w:tcPr>
          <w:p/>
        </w:tc>
        <w:tc>
          <w:tcPr>
            <w:tcW w:type="dxa" w:w="3061"/>
            <w:tcMar>
              <w:top w:w="0" w:type="dxa"/>
              <w:left w:w="0" w:type="dxa"/>
              <w:bottom w:w="0" w:type="dxa"/>
              <w:right w:w="0" w:type="dxa"/>
            </w:tcMar>
            <w:vAlign w:val="top"/>
          </w:tcPr>
          <w:p>
            <w:pPr>
              <w:spacing w:before="0" w:after="180" w:line="240" w:lineRule="auto"/>
              <w:pBdr>
                <w:bottom w:val="single" w:sz="6" w:color="D9D1C4" w:space="0"/>
              </w:pBdr>
            </w:pPr>
            <w:r>
              <w:rPr>
                <w:rFonts w:ascii="Arial" w:hAnsi="Arial"/>
                <w:b w:val="0"/>
                <w:color w:val="111111"/>
                <w:sz w:val="2"/>
              </w:rPr>
            </w:r>
          </w:p>
          <w:p>
            <w:pPr>
              <w:pStyle w:val="Heading2"/>
              <w:spacing w:before="0" w:after="100" w:line="264" w:lineRule="auto"/>
            </w:pPr>
            <w:r>
              <w:rPr>
                <w:rFonts w:ascii="Times New Roman" w:hAnsi="Times New Roman"/>
                <w:b w:val="0"/>
                <w:color w:val="0F382E"/>
                <w:sz w:val="36"/>
              </w:rPr>
              <w:t>Kamahl Farache</w:t>
            </w:r>
          </w:p>
          <w:p>
            <w:pPr>
              <w:spacing w:before="0" w:after="200" w:line="274" w:lineRule="auto"/>
            </w:pPr>
            <w:r>
              <w:rPr>
                <w:rFonts w:ascii="Arial" w:hAnsi="Arial"/>
                <w:b/>
                <w:color w:val="756D63"/>
                <w:sz w:val="14"/>
              </w:rPr>
              <w:t>COMMERCIAL MANAGER</w:t>
            </w:r>
          </w:p>
          <w:p>
            <w:pPr>
              <w:spacing w:before="0" w:after="0" w:line="300" w:lineRule="auto"/>
            </w:pPr>
            <w:r>
              <w:rPr>
                <w:rFonts w:ascii="Arial" w:hAnsi="Arial"/>
                <w:b w:val="0"/>
                <w:color w:val="5C625B"/>
                <w:sz w:val="20"/>
              </w:rPr>
              <w:t>Kamahl leads contracts, procurement and commercial reporting. He connects cost control with programme and project obligations, supporting clear subcontract packages, consistent administration and informed decisions throughout the delivery process.</w:t>
            </w:r>
          </w:p>
        </w:tc>
      </w:tr>
    </w:tbl>
    <w:p>
      <w:pPr>
        <w:spacing w:before="0" w:after="0" w:line="397" w:lineRule="exact"/>
      </w:pPr>
      <w:r>
        <w:rPr>
          <w:sz w:val="2"/>
        </w:rPr>
      </w:r>
    </w:p>
    <w:p>
      <w:pPr>
        <w:spacing w:before="0" w:after="140" w:line="274" w:lineRule="auto"/>
      </w:pPr>
      <w:r>
        <w:rPr>
          <w:rFonts w:ascii="Arial" w:hAnsi="Arial"/>
          <w:b/>
          <w:color w:val="756D63"/>
          <w:sz w:val="16"/>
          <w:spacing w:val="20"/>
        </w:rPr>
        <w:t>HOW WE DELIVER</w:t>
      </w:r>
    </w:p>
    <w:p>
      <w:pPr>
        <w:pStyle w:val="Heading2"/>
        <w:spacing w:before="0" w:after="260" w:line="274" w:lineRule="auto"/>
      </w:pPr>
      <w:r>
        <w:rPr>
          <w:rFonts w:ascii="Times New Roman" w:hAnsi="Times New Roman"/>
          <w:b w:val="0"/>
          <w:color w:val="0F382E"/>
          <w:sz w:val="46"/>
        </w:rPr>
        <w:t>A clear path from brief to handover.</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2466"/>
        <w:gridCol w:w="2466"/>
        <w:gridCol w:w="2466"/>
        <w:gridCol w:w="2466"/>
      </w:tblGrid>
      <w:tr>
        <w:trPr>
          <w:cantSplit/>
        </w:trPr>
        <w:tc>
          <w:tcPr>
            <w:tcW w:type="dxa" w:w="2466"/>
            <w:tcMar>
              <w:top w:w="0" w:type="dxa"/>
              <w:left w:w="0" w:type="dxa"/>
              <w:bottom w:w="0" w:type="dxa"/>
              <w:right w:w="0" w:type="dxa"/>
            </w:tcMar>
            <w:vAlign w:val="top"/>
            <w:shd w:fill="E6DFD4"/>
            <w:tcMar>
              <w:top w:w="227" w:type="dxa"/>
              <w:left w:w="198" w:type="dxa"/>
              <w:bottom w:w="227" w:type="dxa"/>
              <w:right w:w="198" w:type="dxa"/>
            </w:tcMar>
          </w:tcPr>
          <w:p>
            <w:pPr>
              <w:spacing w:before="0" w:after="100" w:line="274" w:lineRule="auto"/>
            </w:pPr>
            <w:r>
              <w:rPr>
                <w:rFonts w:ascii="Arial" w:hAnsi="Arial"/>
                <w:b w:val="0"/>
                <w:color w:val="756D63"/>
                <w:sz w:val="16"/>
              </w:rPr>
              <w:t>01</w:t>
            </w:r>
          </w:p>
          <w:p>
            <w:pPr>
              <w:spacing w:before="0" w:after="140" w:line="274" w:lineRule="auto"/>
            </w:pPr>
            <w:r>
              <w:rPr>
                <w:rFonts w:ascii="Times New Roman" w:hAnsi="Times New Roman"/>
                <w:b w:val="0"/>
                <w:color w:val="0F382E"/>
                <w:sz w:val="34"/>
              </w:rPr>
              <w:t>Define</w:t>
            </w:r>
          </w:p>
          <w:p>
            <w:pPr>
              <w:spacing w:before="0" w:after="0" w:line="288" w:lineRule="auto"/>
            </w:pPr>
            <w:r>
              <w:rPr>
                <w:rFonts w:ascii="Arial" w:hAnsi="Arial"/>
                <w:b w:val="0"/>
                <w:color w:val="5C625B"/>
                <w:sz w:val="18"/>
              </w:rPr>
              <w:t>Scope, constraints, budget, programme and key risks.</w:t>
            </w:r>
          </w:p>
        </w:tc>
        <w:tc>
          <w:tcPr>
            <w:tcW w:type="dxa" w:w="2466"/>
            <w:tcMar>
              <w:top w:w="0" w:type="dxa"/>
              <w:left w:w="0" w:type="dxa"/>
              <w:bottom w:w="0" w:type="dxa"/>
              <w:right w:w="0" w:type="dxa"/>
            </w:tcMar>
            <w:vAlign w:val="top"/>
            <w:shd w:fill="E6DFD4"/>
            <w:tcMar>
              <w:top w:w="227" w:type="dxa"/>
              <w:left w:w="198" w:type="dxa"/>
              <w:bottom w:w="227" w:type="dxa"/>
              <w:right w:w="198" w:type="dxa"/>
            </w:tcMar>
          </w:tcPr>
          <w:p>
            <w:pPr>
              <w:spacing w:before="0" w:after="100" w:line="274" w:lineRule="auto"/>
            </w:pPr>
            <w:r>
              <w:rPr>
                <w:rFonts w:ascii="Arial" w:hAnsi="Arial"/>
                <w:b w:val="0"/>
                <w:color w:val="756D63"/>
                <w:sz w:val="16"/>
              </w:rPr>
              <w:t>02</w:t>
            </w:r>
          </w:p>
          <w:p>
            <w:pPr>
              <w:spacing w:before="0" w:after="140" w:line="274" w:lineRule="auto"/>
            </w:pPr>
            <w:r>
              <w:rPr>
                <w:rFonts w:ascii="Times New Roman" w:hAnsi="Times New Roman"/>
                <w:b w:val="0"/>
                <w:color w:val="0F382E"/>
                <w:sz w:val="34"/>
              </w:rPr>
              <w:t>Plan</w:t>
            </w:r>
          </w:p>
          <w:p>
            <w:pPr>
              <w:spacing w:before="0" w:after="0" w:line="288" w:lineRule="auto"/>
            </w:pPr>
            <w:r>
              <w:rPr>
                <w:rFonts w:ascii="Arial" w:hAnsi="Arial"/>
                <w:b w:val="0"/>
                <w:color w:val="5C625B"/>
                <w:sz w:val="18"/>
              </w:rPr>
              <w:t>Estimating, procurement, methodology and sequencing.</w:t>
            </w:r>
          </w:p>
        </w:tc>
        <w:tc>
          <w:tcPr>
            <w:tcW w:type="dxa" w:w="2466"/>
            <w:tcMar>
              <w:top w:w="0" w:type="dxa"/>
              <w:left w:w="0" w:type="dxa"/>
              <w:bottom w:w="0" w:type="dxa"/>
              <w:right w:w="0" w:type="dxa"/>
            </w:tcMar>
            <w:vAlign w:val="top"/>
            <w:shd w:fill="E6DFD4"/>
            <w:tcMar>
              <w:top w:w="227" w:type="dxa"/>
              <w:left w:w="198" w:type="dxa"/>
              <w:bottom w:w="227" w:type="dxa"/>
              <w:right w:w="198" w:type="dxa"/>
            </w:tcMar>
          </w:tcPr>
          <w:p>
            <w:pPr>
              <w:spacing w:before="0" w:after="100" w:line="274" w:lineRule="auto"/>
            </w:pPr>
            <w:r>
              <w:rPr>
                <w:rFonts w:ascii="Arial" w:hAnsi="Arial"/>
                <w:b w:val="0"/>
                <w:color w:val="756D63"/>
                <w:sz w:val="16"/>
              </w:rPr>
              <w:t>03</w:t>
            </w:r>
          </w:p>
          <w:p>
            <w:pPr>
              <w:spacing w:before="0" w:after="140" w:line="274" w:lineRule="auto"/>
            </w:pPr>
            <w:r>
              <w:rPr>
                <w:rFonts w:ascii="Times New Roman" w:hAnsi="Times New Roman"/>
                <w:b w:val="0"/>
                <w:color w:val="0F382E"/>
                <w:sz w:val="34"/>
              </w:rPr>
              <w:t>Build</w:t>
            </w:r>
          </w:p>
          <w:p>
            <w:pPr>
              <w:spacing w:before="0" w:after="0" w:line="288" w:lineRule="auto"/>
            </w:pPr>
            <w:r>
              <w:rPr>
                <w:rFonts w:ascii="Arial" w:hAnsi="Arial"/>
                <w:b w:val="0"/>
                <w:color w:val="5C625B"/>
                <w:sz w:val="18"/>
              </w:rPr>
              <w:t>Site operations, trade coordination, quality and reporting.</w:t>
            </w:r>
          </w:p>
        </w:tc>
        <w:tc>
          <w:tcPr>
            <w:tcW w:type="dxa" w:w="2466"/>
            <w:tcMar>
              <w:top w:w="0" w:type="dxa"/>
              <w:left w:w="0" w:type="dxa"/>
              <w:bottom w:w="0" w:type="dxa"/>
              <w:right w:w="0" w:type="dxa"/>
            </w:tcMar>
            <w:vAlign w:val="top"/>
            <w:shd w:fill="E6DFD4"/>
            <w:tcMar>
              <w:top w:w="227" w:type="dxa"/>
              <w:left w:w="198" w:type="dxa"/>
              <w:bottom w:w="227" w:type="dxa"/>
              <w:right w:w="198" w:type="dxa"/>
            </w:tcMar>
          </w:tcPr>
          <w:p>
            <w:pPr>
              <w:spacing w:before="0" w:after="100" w:line="274" w:lineRule="auto"/>
            </w:pPr>
            <w:r>
              <w:rPr>
                <w:rFonts w:ascii="Arial" w:hAnsi="Arial"/>
                <w:b w:val="0"/>
                <w:color w:val="756D63"/>
                <w:sz w:val="16"/>
              </w:rPr>
              <w:t>04</w:t>
            </w:r>
          </w:p>
          <w:p>
            <w:pPr>
              <w:spacing w:before="0" w:after="140" w:line="274" w:lineRule="auto"/>
            </w:pPr>
            <w:r>
              <w:rPr>
                <w:rFonts w:ascii="Times New Roman" w:hAnsi="Times New Roman"/>
                <w:b w:val="0"/>
                <w:color w:val="0F382E"/>
                <w:sz w:val="34"/>
              </w:rPr>
              <w:t>Deliver</w:t>
            </w:r>
          </w:p>
          <w:p>
            <w:pPr>
              <w:spacing w:before="0" w:after="0" w:line="288" w:lineRule="auto"/>
            </w:pPr>
            <w:r>
              <w:rPr>
                <w:rFonts w:ascii="Arial" w:hAnsi="Arial"/>
                <w:b w:val="0"/>
                <w:color w:val="5C625B"/>
                <w:sz w:val="18"/>
              </w:rPr>
              <w:t>Close-out, defects, commissioning and handover.</w:t>
            </w:r>
          </w:p>
        </w:tc>
      </w:tr>
    </w:tbl>
    <w:p>
      <w:pPr>
        <w:spacing w:before="0" w:after="0" w:line="454" w:lineRule="exact"/>
      </w:pPr>
      <w:r>
        <w:rPr>
          <w:sz w:val="2"/>
        </w:rPr>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9865"/>
      </w:tblGrid>
      <w:tr>
        <w:trPr>
          <w:cantSplit/>
        </w:trPr>
        <w:tc>
          <w:tcPr>
            <w:tcW w:type="dxa" w:w="9865"/>
            <w:tcMar>
              <w:top w:w="0" w:type="dxa"/>
              <w:left w:w="0" w:type="dxa"/>
              <w:bottom w:w="0" w:type="dxa"/>
              <w:right w:w="0" w:type="dxa"/>
            </w:tcMar>
            <w:vAlign w:val="top"/>
            <w:shd w:fill="0F382E"/>
            <w:tcMar>
              <w:top w:w="283" w:type="dxa"/>
              <w:left w:w="397" w:type="dxa"/>
              <w:bottom w:w="283" w:type="dxa"/>
              <w:right w:w="397" w:type="dxa"/>
            </w:tcMar>
          </w:tcPr>
          <w:p>
            <w:pPr>
              <w:spacing w:before="0" w:after="160" w:line="259" w:lineRule="auto"/>
            </w:pPr>
            <w:r>
              <w:rPr>
                <w:rFonts w:ascii="Times New Roman" w:hAnsi="Times New Roman"/>
                <w:b w:val="0"/>
                <w:color w:val="F2EDE6"/>
                <w:sz w:val="48"/>
              </w:rPr>
              <w:t>Let’s talk about your next project.</w:t>
            </w:r>
          </w:p>
          <w:p>
            <w:pPr>
              <w:spacing w:before="0" w:after="160" w:line="274" w:lineRule="auto"/>
            </w:pPr>
            <w:r>
              <w:rPr>
                <w:rFonts w:ascii="Arial" w:hAnsi="Arial"/>
                <w:b w:val="0"/>
                <w:color w:val="F2EDE6"/>
                <w:sz w:val="18"/>
              </w:rPr>
              <w:t>For tender opportunities, project enquiries or an introductory meeting:</w:t>
            </w:r>
          </w:p>
          <w:p>
            <w:pPr>
              <w:spacing w:before="0" w:after="0" w:line="274" w:lineRule="auto"/>
            </w:pPr>
            <w:r>
              <w:rPr>
                <w:rFonts w:ascii="Times New Roman" w:hAnsi="Times New Roman"/>
                <w:b w:val="0"/>
                <w:color w:val="F2EDE6"/>
                <w:sz w:val="30"/>
              </w:rPr>
              <w:t>info@palmyraprojects.com.au</w:t>
            </w:r>
          </w:p>
        </w:tc>
      </w:tr>
    </w:tbl>
    <w:sectPr w:rsidR="00FC693F" w:rsidRPr="0006063C" w:rsidSect="00034616">
      <w:footerReference w:type="default" r:id="rId9"/>
      <w:pgSz w:w="11906" w:h="16838"/>
      <w:pgMar w:top="794" w:right="1020" w:bottom="850" w:left="1020" w:header="397"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120"/>
      <w:pBdr>
        <w:top w:val="single" w:sz="4" w:color="D9D1C4"/>
      </w:pBdr>
    </w:pPr>
  </w:p>
  <w:p>
    <w:pPr>
      <w:tabs>
        <w:tab w:pos="9694" w:val="right"/>
      </w:tabs>
      <w:spacing w:before="0" w:after="0" w:line="274" w:lineRule="auto"/>
    </w:pPr>
    <w:r>
      <w:rPr>
        <w:rFonts w:ascii="Arial" w:hAnsi="Arial"/>
        <w:b w:val="0"/>
        <w:color w:val="0F382E"/>
        <w:sz w:val="14"/>
      </w:rPr>
      <w:t>PALMYRA PROJECTS   /   CAPABILITY STATEMENT</w:t>
    </w:r>
    <w:r>
      <w:tab/>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displayBackgroundShap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0" w:line="269" w:lineRule="auto"/>
    </w:pPr>
    <w:rPr>
      <w:rFonts w:ascii="Arial" w:hAnsi="Arial"/>
      <w:color w:val="111111"/>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0" w:after="0" w:line="269" w:lineRule="auto"/>
      <w:outlineLvl w:val="0"/>
    </w:pPr>
    <w:rPr>
      <w:rFonts w:asciiTheme="majorHAnsi" w:eastAsiaTheme="majorEastAsia" w:hAnsiTheme="majorHAnsi" w:cstheme="majorBidi" w:ascii="Arial" w:hAnsi="Arial"/>
      <w:b/>
      <w:bCs/>
      <w:color w:val="0F382E"/>
      <w:sz w:val="60"/>
      <w:szCs w:val="28"/>
    </w:rPr>
  </w:style>
  <w:style w:type="paragraph" w:styleId="Heading2">
    <w:name w:val="heading 2"/>
    <w:basedOn w:val="Normal"/>
    <w:next w:val="Normal"/>
    <w:link w:val="Heading2Char"/>
    <w:uiPriority w:val="9"/>
    <w:unhideWhenUsed/>
    <w:qFormat/>
    <w:rsid w:val="00FC693F"/>
    <w:pPr>
      <w:keepNext/>
      <w:keepLines/>
      <w:widowControl/>
      <w:spacing w:before="0" w:after="0" w:line="269" w:lineRule="auto"/>
      <w:outlineLvl w:val="1"/>
    </w:pPr>
    <w:rPr>
      <w:rFonts w:asciiTheme="majorHAnsi" w:eastAsiaTheme="majorEastAsia" w:hAnsiTheme="majorHAnsi" w:cstheme="majorBidi" w:ascii="Arial" w:hAnsi="Arial"/>
      <w:b/>
      <w:bCs/>
      <w:color w:val="0F382E"/>
      <w:sz w:val="30"/>
      <w:szCs w:val="26"/>
    </w:rPr>
  </w:style>
  <w:style w:type="paragraph" w:styleId="Heading3">
    <w:name w:val="heading 3"/>
    <w:basedOn w:val="Normal"/>
    <w:next w:val="Normal"/>
    <w:link w:val="Heading3Char"/>
    <w:uiPriority w:val="9"/>
    <w:unhideWhenUsed/>
    <w:qFormat/>
    <w:rsid w:val="00FC693F"/>
    <w:pPr>
      <w:keepNext/>
      <w:keepLines/>
      <w:widowControl/>
      <w:spacing w:before="0" w:after="0" w:line="269" w:lineRule="auto"/>
      <w:outlineLvl w:val="2"/>
    </w:pPr>
    <w:rPr>
      <w:rFonts w:asciiTheme="majorHAnsi" w:eastAsiaTheme="majorEastAsia" w:hAnsiTheme="majorHAnsi" w:cstheme="majorBidi" w:ascii="Arial" w:hAnsi="Arial"/>
      <w:b/>
      <w:bCs/>
      <w:color w:val="0F382E"/>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widowControl/>
      <w:pBdr>
        <w:bottom w:val="single" w:sz="8" w:space="4" w:color="4F81BD" w:themeColor="accent1"/>
      </w:pBdr>
      <w:spacing w:after="0" w:line="269" w:lineRule="auto" w:before="0"/>
      <w:contextualSpacing/>
    </w:pPr>
    <w:rPr>
      <w:rFonts w:asciiTheme="majorHAnsi" w:eastAsiaTheme="majorEastAsia" w:hAnsiTheme="majorHAnsi" w:cstheme="majorBidi" w:ascii="Arial" w:hAnsi="Arial"/>
      <w:color w:val="111111"/>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widowControl/>
      <w:numPr>
        <w:ilvl w:val="1"/>
      </w:numPr>
      <w:spacing w:before="0" w:after="0" w:line="269" w:lineRule="auto"/>
    </w:pPr>
    <w:rPr>
      <w:rFonts w:asciiTheme="majorHAnsi" w:eastAsiaTheme="majorEastAsia" w:hAnsiTheme="majorHAnsi" w:cstheme="majorBidi" w:ascii="Arial" w:hAnsi="Arial"/>
      <w:i/>
      <w:iCs/>
      <w:color w:val="11111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widowControl/>
      <w:spacing w:after="0" w:before="0" w:line="269" w:lineRule="auto"/>
    </w:pPr>
    <w:rPr>
      <w:rFonts w:ascii="Arial" w:hAnsi="Arial"/>
      <w:color w:val="111111"/>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Palmyra Projects | Capability Statement</dc:title>
  <dc:subject>Company capabilities, past projects and leadership</dc:subject>
  <dc:creator>Palmyra Projects</dc:creator>
  <cp:keywords/>
  <dc:description>Rebuilt brochure layout. Editable text and tables with original project photography and a transparent Palmyra wordmark.</dc:description>
  <cp:lastModifiedBy/>
  <cp:revision>1</cp:revision>
  <dcterms:created xsi:type="dcterms:W3CDTF">2013-12-23T23:15:00Z</dcterms:created>
  <dcterms:modified xsi:type="dcterms:W3CDTF">2013-12-23T23:15:00Z</dcterms:modified>
  <cp:category/>
</cp:coreProperties>
</file>